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sz w:val="44"/>
          <w:szCs w:val="44"/>
        </w:rPr>
      </w:pPr>
      <w:r>
        <w:rPr>
          <w:rFonts w:hint="eastAsia" w:ascii="方正大标宋简体" w:eastAsia="方正大标宋简体"/>
          <w:sz w:val="44"/>
          <w:szCs w:val="44"/>
        </w:rPr>
        <w:t>石狮市卫生健康局</w:t>
      </w:r>
      <w:r>
        <w:rPr>
          <w:rFonts w:hint="eastAsia" w:ascii="方正大标宋简体" w:eastAsia="方正大标宋简体"/>
          <w:sz w:val="44"/>
          <w:szCs w:val="44"/>
          <w:lang w:val="en-US" w:eastAsia="zh-CN"/>
        </w:rPr>
        <w:t>3</w:t>
      </w:r>
      <w:r>
        <w:rPr>
          <w:rFonts w:hint="eastAsia" w:ascii="方正大标宋简体" w:eastAsia="方正大标宋简体"/>
          <w:sz w:val="44"/>
          <w:szCs w:val="44"/>
        </w:rPr>
        <w:t>月行政许可公示</w:t>
      </w:r>
    </w:p>
    <w:tbl>
      <w:tblPr>
        <w:tblStyle w:val="2"/>
        <w:tblW w:w="16068" w:type="dxa"/>
        <w:tblInd w:w="250" w:type="dxa"/>
        <w:tblLayout w:type="fixed"/>
        <w:tblCellMar>
          <w:top w:w="0" w:type="dxa"/>
          <w:left w:w="108" w:type="dxa"/>
          <w:bottom w:w="0" w:type="dxa"/>
          <w:right w:w="108" w:type="dxa"/>
        </w:tblCellMar>
      </w:tblPr>
      <w:tblGrid>
        <w:gridCol w:w="567"/>
        <w:gridCol w:w="1276"/>
        <w:gridCol w:w="1843"/>
        <w:gridCol w:w="1134"/>
        <w:gridCol w:w="1843"/>
        <w:gridCol w:w="6627"/>
        <w:gridCol w:w="1134"/>
        <w:gridCol w:w="744"/>
        <w:gridCol w:w="743"/>
      </w:tblGrid>
      <w:tr>
        <w:tblPrEx>
          <w:tblCellMar>
            <w:top w:w="0" w:type="dxa"/>
            <w:left w:w="108" w:type="dxa"/>
            <w:bottom w:w="0" w:type="dxa"/>
            <w:right w:w="108" w:type="dxa"/>
          </w:tblCellMar>
        </w:tblPrEx>
        <w:trPr>
          <w:wBefore w:w="157" w:type="dxa"/>
          <w:trHeight w:val="27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审批时间</w:t>
            </w:r>
          </w:p>
        </w:tc>
        <w:tc>
          <w:tcPr>
            <w:tcW w:w="184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审批事项</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申请人/单位</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法律依据</w:t>
            </w:r>
          </w:p>
        </w:tc>
        <w:tc>
          <w:tcPr>
            <w:tcW w:w="6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法律条件</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决定日期</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办理流程</w:t>
            </w:r>
          </w:p>
        </w:tc>
        <w:tc>
          <w:tcPr>
            <w:tcW w:w="7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办理结果</w:t>
            </w:r>
          </w:p>
        </w:tc>
      </w:tr>
      <w:tr>
        <w:tblPrEx>
          <w:tblCellMar>
            <w:top w:w="0" w:type="dxa"/>
            <w:left w:w="108" w:type="dxa"/>
            <w:bottom w:w="0" w:type="dxa"/>
            <w:right w:w="108" w:type="dxa"/>
          </w:tblCellMar>
        </w:tblPrEx>
        <w:trPr>
          <w:wBefore w:w="157" w:type="dxa"/>
          <w:trHeight w:val="8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灵秀镇茂厦村卫生所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2024-04-01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灵秀镇茂厦村卫生所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第十九条　医疗机构改变名称、场所、主要负责人、诊疗科目、床位，必须向原登记机关办理变更登记。 </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2024-04-01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78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王义锡</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53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张瑞玲</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41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李正</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放射医疗工作人员证核发_注销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李展发</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《福建省卫生厅关于贯彻卫生部〈放射工作人员职业健康管理办法〉的通知》（闽卫法监〔2007〕218号）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（四）《放射工作人员证》注销 　　放射工作人员调离放射医疗工作岗位的，应由所在单位在30日内向发证机关办理注销手续，并交回《放射工作人员证》。</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收回放射医疗工作人员证核发</w:t>
            </w:r>
          </w:p>
        </w:tc>
      </w:tr>
      <w:tr>
        <w:tblPrEx>
          <w:tblCellMar>
            <w:top w:w="0" w:type="dxa"/>
            <w:left w:w="108" w:type="dxa"/>
            <w:bottom w:w="0" w:type="dxa"/>
            <w:right w:w="108" w:type="dxa"/>
          </w:tblCellMar>
        </w:tblPrEx>
        <w:trPr>
          <w:wBefore w:w="157" w:type="dxa"/>
          <w:trHeight w:val="78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蔡冬园</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蚶江镇锦里村卫生所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63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石狮市善洲足浴店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97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石狮市嘉和商务酒店有限公司</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29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石狮李新梅妇科诊所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第二十条 医疗机构歇业，必须向原登记机关办理注销登记或者向原备案机关备案。经登记机关核准后，收缴《医疗机构执业许可证》。 医疗机构非因改建、扩建、迁建原因停业超过1年的，视为歇业。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收回诊所备案凭证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石狮市鸿嘉煜美容店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黄萍萍</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95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李新梅</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128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石狮市妇幼保健院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 xml:space="preserve">第十九条　医疗机构改变名称、场所、主要负责人、诊疗科目、床位，必须向原登记机关办理变更登记。 </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石狮如一堂内科诊所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第九条 诊所的名称、地址、法定代表人或者主要负责人、所有制形式、诊疗科目、服务方式等实际设置应当与诊所备案凭证记载事项相一致，以上备案信息发生变动的，必须向原备案机关备案。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wBefore w:w="157" w:type="dxa"/>
          <w:trHeight w:val="46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石狮李德良外科诊所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41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60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96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14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23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559"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268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165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60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226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14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98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石狮李德良全科医疗科诊所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第二十条 医疗机构歇业，必须向原登记机关办理注销登记或者向原备案机关备案。经登记机关核准后，收缴《医疗机构执业许可证》。 医疗机构非因改建、扩建、迁建原因停业超过1年的，视为歇业。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收回诊所备案凭证</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灵秀镇灵狮村卫生所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石狮市提嗯美发店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739"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石狮市缇恩美发店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灵秀镇彭田村卫生室</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12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医疗广告审查（新办）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石狮市黄阳鹏口腔科诊所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福建省卫生计生委关于下放医疗广告审查权限的通知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 xml:space="preserve"> 一、审查权限：按照“医疗机构谁发证，医疗广告谁审查”的原则，省级卫生行政部门不再统一受理全省医疗广告申请，由县级及以上卫生行政部门根据医疗机构执业许可证的核发权限行使医疗广告审查权。</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医疗广告审查证明</w:t>
            </w:r>
          </w:p>
        </w:tc>
      </w:tr>
      <w:tr>
        <w:tblPrEx>
          <w:tblCellMar>
            <w:top w:w="0" w:type="dxa"/>
            <w:left w:w="108" w:type="dxa"/>
            <w:bottom w:w="0" w:type="dxa"/>
            <w:right w:w="108" w:type="dxa"/>
          </w:tblCellMar>
        </w:tblPrEx>
        <w:trPr>
          <w:wBefore w:w="157" w:type="dxa"/>
          <w:trHeight w:val="59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石狮玛小恩医疗美容诊所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wBefore w:w="157" w:type="dxa"/>
          <w:trHeight w:val="279"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石狮市煜丹美容店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罗万云</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06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蔡晓玲</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57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蔡晓玲</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0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黄安琪</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林梅玉</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8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石狮市轩缘理发店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6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石狮蔡德露中医（综合）诊所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第二十条 医疗机构歇业，必须向原登记机关办理注销登记或者向原备案机关备案。经登记机关核准后，收缴《医疗机构执业许可证》。 医疗机构非因改建、扩建、迁建原因停业超过1年的，视为歇业。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收回诊所备案凭证</w:t>
            </w:r>
          </w:p>
        </w:tc>
      </w:tr>
      <w:tr>
        <w:tblPrEx>
          <w:tblCellMar>
            <w:top w:w="0" w:type="dxa"/>
            <w:left w:w="108" w:type="dxa"/>
            <w:bottom w:w="0" w:type="dxa"/>
            <w:right w:w="108" w:type="dxa"/>
          </w:tblCellMar>
        </w:tblPrEx>
        <w:trPr>
          <w:wBefore w:w="157" w:type="dxa"/>
          <w:trHeight w:val="15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灵秀镇灵狮村卫生室</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10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石狮市汤海平理发店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《行政许可法》（2019年中华人民共和国主席令第29号）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第七十条 有下列情形之一的，行政机关应当依法办理有关行政许可的注销手续： 　　（一）行政许可有效期届满未延续的； 　　（二）赋予公民特定资格的行政许可，该公民死亡或者丧失行为能力的； 　　（三）法人或者其他组织依法终止的； 　　（四）行政许可依法被撤销、撤回，或者行政许可证件依法被吊销的； 　　（五）因不可抗力导致行政许可事项无法实施的； 　　（六）法律、法规规定的应当注销行政许可的其他情形。</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石狮永建富翔口腔门诊部</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128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石狮永建富翔口腔门诊部</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147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郜辛正</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祥芝镇大堡村卫生室</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第十九条　医疗机构改变名称、场所、主要负责人、诊疗科目、床位，必须向原登记机关办理变更登记。 </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何淑坛</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04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鸿山镇伍堡村卫生所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209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石狮市名将理发店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74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崔璐璐</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邹雪</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08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张潭</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69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石狮市程术东足浴店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鸿山镇伍堡村卫生室</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187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许海杨</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石狮市缘之发理发店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设置X射线影像诊断的建设项目放射性职业病防护设施竣工验收</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石狮市祥芝镇卫生院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1.建设单位在项目竣工验收前，委托放射卫生技术服务机构编制控制效果评价报告书； 2.按卫生行政许可的时限组织专家对控制效果评价报告书进行评审，并进行职业病放射防护设施竣工验收； 3.按照其开展的放射诊疗工作的类别，分别向相应的卫生行政部门提出竣工验收申请， 同时开展不同类别放射诊疗工作的，向具有高类别审批权的卫生行政部门申请办理。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建设项目竣工卫生竣工验收书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鸿山镇西墩村卫生所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林志忠</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陈杨</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64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赖琪</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68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林雪英</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7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锦尚镇港前村卫生所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第十五条　申请医疗机构执业登记，应当具备下列条件：（一）有设置医疗机构批准书；（二）符合医疗机构的基本标准； （三）有适合的名称、组织机构和场所； （四）有与其开展的业务相适应的经费、设施、设备和专业卫生技术人员； 　　（五）有相应的规章制度； （六）能够独立承担民事责任。</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75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锦尚镇深埕村卫生所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第十五条　申请医疗机构执业登记，应当具备下列条件：（一）有设置医疗机构批准书；（二）符合医疗机构的基本标准； （三）有适合的名称、组织机构和场所； （四）有与其开展的业务相适应的经费、设施、设备和专业卫生技术人员； 　　（五）有相应的规章制度； （六）能够独立承担民事责任。</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王声盼</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99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徐克铁</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4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石狮市桂辉理发店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70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石狮谢锦文口腔科诊所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第六条 　医疗机构开展放射诊疗工作，应当具备以下基本条件：（一）具有经核准登记的医学影像科诊疗科目；（二）具有符合国家相关标准和规定的放射诊疗场所和配套设施；（三）具有质量控制与安全防护专（兼）职管理人员和管理制度，并配备必要的防护用品和监测仪器；（四）产生放射性废气、废液、固体废物的，具有确保放射性废气、废物、固体废物达标排放的处理能力或者可行的处理方案；（五）具有放射事件应急处理预案。《放射诊疗管理规定》（卫生部第46号令）第八条 医疗机构开展不同类别放射诊疗工作，应当分别具有下列设备：...（四）开展X射线影像诊断工作的，有医用诊断X射线机或CT机等设备。</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wBefore w:w="157" w:type="dxa"/>
          <w:trHeight w:val="56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母婴保健技术服务机构执业许可（注销）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石狮市凤里社区卫生服务中心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《福建省母婴保健、计划生育技术服务许可管理办法》（闽卫妇幼〔2009〕186号）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第十四条　医疗保健机构停止开展母婴保健专项技术服务的，应当向审批机关申请注销登记，交回《母婴保健技术服务执业许可证》。</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收回母婴保健技术服务执业许可证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杨欢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石狮市东方之昕美容店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115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永宁镇洋厝村卫生所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永宁镇永宁居委会东门卫生室</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永宁镇塔石村卫生所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49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康爱平</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56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设置X射线影像诊断的建设项目放射性职业病防护设施竣工验收</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石狮林挺凯口腔科诊所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1.建设单位在项目竣工验收前，委托放射卫生技术服务机构编制控制效果评价报告书； 2.按卫生行政许可的时限组织专家对控制效果评价报告书进行评审，并进行职业病放射防护设施竣工验收； 3.按照其开展的放射诊疗工作的类别，分别向相应的卫生行政部门提出竣工验收申请， 同时开展不同类别放射诊疗工作的，向具有高类别审批权的卫生行政部门申请办理。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建设项目竣工卫生竣工验收书</w:t>
            </w:r>
          </w:p>
        </w:tc>
      </w:tr>
      <w:tr>
        <w:tblPrEx>
          <w:tblCellMar>
            <w:top w:w="0" w:type="dxa"/>
            <w:left w:w="108" w:type="dxa"/>
            <w:bottom w:w="0" w:type="dxa"/>
            <w:right w:w="108" w:type="dxa"/>
          </w:tblCellMar>
        </w:tblPrEx>
        <w:trPr>
          <w:wBefore w:w="157" w:type="dxa"/>
          <w:trHeight w:val="19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缪雪芳</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石狮市佳俊理发店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刘琳萍</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石狮市中侨艺术酒店有限公司</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10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石狮市雅诺化妆品店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14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石狮市婵媛化妆品店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许雅婷</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石狮市湖滨社区卫生服务中心</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母婴保健技术服务机构执业许可（注销）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石狮市祥芝镇卫生院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《福建省母婴保健、计划生育技术服务许可管理办法》（闽卫妇幼〔2009〕186号）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第十四条　医疗保健机构停止开展母婴保健专项技术服务的，应当向审批机关申请注销登记，交回《母婴保健技术服务执业许可证》。</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收回母婴保健技术服务执业许可证</w:t>
            </w:r>
          </w:p>
        </w:tc>
      </w:tr>
      <w:tr>
        <w:tblPrEx>
          <w:tblCellMar>
            <w:top w:w="0" w:type="dxa"/>
            <w:left w:w="108" w:type="dxa"/>
            <w:bottom w:w="0" w:type="dxa"/>
            <w:right w:w="108" w:type="dxa"/>
          </w:tblCellMar>
        </w:tblPrEx>
        <w:trPr>
          <w:wBefore w:w="157" w:type="dxa"/>
          <w:trHeight w:val="240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nil"/>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石狮市诗诗理发店</w:t>
            </w:r>
          </w:p>
        </w:tc>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2024-03-21</w:t>
            </w:r>
          </w:p>
        </w:tc>
        <w:tc>
          <w:tcPr>
            <w:tcW w:w="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513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nil"/>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冉启姣</w:t>
            </w:r>
          </w:p>
        </w:tc>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120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龙中燕</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212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设置X射线影像诊断的建设项目放射性职业病防护设施竣工验收</w:t>
            </w:r>
          </w:p>
        </w:tc>
        <w:tc>
          <w:tcPr>
            <w:tcW w:w="1134" w:type="dxa"/>
            <w:tcBorders>
              <w:top w:val="nil"/>
              <w:left w:val="nil"/>
              <w:bottom w:val="single" w:color="000000" w:sz="4" w:space="0"/>
              <w:right w:val="nil"/>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石狮苏荣荣口腔科诊所</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1.建设单位在项目竣工验收前，委托放射卫生技术服务机构编制控制效果评价报告书； 2.按卫生行政许可的时限组织专家对控制效果评价报告书进行评审，并进行职业病放射防护设施竣工验收； 3.按照其开展的放射诊疗工作的类别，分别向相应的卫生行政部门提出竣工验收申请， 同时开展不同类别放射诊疗工作的，向具有高类别审批权的卫生行政部门申请办理。</w:t>
            </w:r>
          </w:p>
        </w:tc>
        <w:tc>
          <w:tcPr>
            <w:tcW w:w="1134"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2024-03-28</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建设项目竣工卫生竣工验收书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石狮李德良全科医疗科诊所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石狮市华廷商务宾馆有限公司</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石狮市淞柏润都美容厅</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郑丹丹</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56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石狮市金沫轩足浴店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70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石狮市焕采空间化妆品店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王雪婷</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76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医疗广告审查（新办）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石狮李金标口腔门诊部</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福建省卫生计生委关于下放医疗广告审查权限的通知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一、审查权限：按照“医疗机构谁发证，医疗广告谁审查”的原则，省级卫生行政部门不再统一受理全省医疗广告申请，由县级及以上卫生行政部门根据医疗机构执业许可证的核发权限行使医疗广告审查权。</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医疗广告审查证明</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施如意</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71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李展发</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47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林鹭鸶</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石狮宝岛栢丽医疗美容门诊部</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石狮市佐艺养生馆</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钟茹</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程芳婷</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石狮市尚颜美容店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39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任海欢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庄垂田</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许惠娥</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52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石狮市美仙理发店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90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谢建鹏</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母婴保健技术服务机构执业许可（注销）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石狮市蚶江镇卫生院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《福建省母婴保健、计划生育技术服务许可管理办法》（闽卫妇幼〔2009〕186号）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第十四条　医疗保健机构停止开展母婴保健专项技术服务的，应当向审批机关申请注销登记，交回《母婴保健技术服务执业许可证》。</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收回母婴保健技术服务执业许可证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石狮市宏典理发店</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灵秀镇塔前村石泉路卫生室</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第十五条　申请医疗机构执业登记，应当具备下列条件：（一）有设置医疗机构批准书；（二）符合医疗机构的基本标准； （三）有适合的名称、组织机构和场所； （四）有与其开展的业务相适应的经费、设施、设备和专业卫生技术人员； 　　（五）有相应的规章制度； （六）能够独立承担民事责任。</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苏婉梅</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石狮市洁颜美容店</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放射医疗工作人员证核发_新证</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王霜媚</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放射工作人员职业健康管理办法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放射工作人员及工作单位符合以下条件的，可以办理。 一、放射工作人员： （一）年满18周岁； （二）经职业健康检查，符合放射工作人员的职业健康要求； （三）放射防护和有关法律知识培训考核合格； （四）遵守放射防护法规和规章制度，接受职业健康监护和个人剂量监测管理； 二、放射工作单位： （一）医用辐射机构《放射工作人员证》，向为其发放《放射诊疗许可证》的卫生健康行政部门申请办理（省属医疗机构向设区市卫健部门申请办理）。（二）非开展核医用辐射机构《放射工作人员证》，向放射工作单位所在地县级卫健部门申请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放射工作人员证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石狮市小泉艺剪理发店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放射医疗工作人员证核发_新证</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黄珊芽</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放射工作人员职业健康管理办法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放射工作人员及工作单位符合以下条件的，可以办理。 一、放射工作人员： （一）年满18周岁； （二）经职业健康检查，符合放射工作人员的职业健康要求； （三）放射防护和有关法律知识培训考核合格； （四）遵守放射防护法规和规章制度，接受职业健康监护和个人剂量监测管理； 二、放射工作单位： （一）医用辐射机构《放射工作人员证》，向为其发放《放射诊疗许可证》的卫生健康行政部门申请办理（省属医疗机构向设区市卫健部门申请办理）。（二）非开展核医用辐射机构《放射工作人员证》，向放射工作单位所在地县级卫健部门申请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放射工作人员证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周倩</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石狮市金典宾馆</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放射医疗工作人员证核发_新证</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汤晓萍</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放射工作人员职业健康管理办法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放射工作人员及工作单位符合以下条件的，可以办理。 一、放射工作人员： （一）年满18周岁； （二）经职业健康检查，符合放射工作人员的职业健康要求； （三）放射防护和有关法律知识培训考核合格； （四）遵守放射防护法规和规章制度，接受职业健康监护和个人剂量监测管理； 二、放射工作单位： （一）医用辐射机构《放射工作人员证》，向为其发放《放射诊疗许可证》的卫生健康行政部门申请办理（省属医疗机构向设区市卫健部门申请办理）。（二）非开展核医用辐射机构《放射工作人员证》，向放射工作单位所在地县级卫健部门申请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放射工作人员证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永宁镇永宁居委会西厝卫生室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鸿山镇洪厝村卫生所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2024-03-22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永宁镇永宁邮电新街卫生室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胡艺红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石狮市友都艺美理发店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贝建</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医疗广告审查（新办）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石狮金恩美口腔门诊部</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福建省卫生计生委关于下放医疗广告审查权限的通知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一、审查权限：按照“医疗机构谁发证，医疗广告谁审查”的原则，省级卫生行政部门不再统一受理全省医疗广告申请，由县级及以上卫生行政部门根据医疗机构执业许可证的核发权限行使医疗广告审查权。</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医疗广告审查证明</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石狮市华飞濠江大酒店有限公司</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石狮市华飞大酒店有限责任公司</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方功雨</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医疗机构执业登记（注销）</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锦尚镇深埕村卫生所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第二十条 医疗机构歇业，必须向原登记机关办理注销登记或者向原备案机关备案。经登记机关核准后，收缴《医疗机构执业许可证》。 　　医疗机构非因改建、扩建、迁建原因停业超过1年的，视为歇业。 </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徐怀利</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吴艺容</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2024-03-15</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邱秀迎</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2024-03-15</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黄安琪</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曾珊</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邵呈呈</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石狮市原意理发店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黄惠玲</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贾凤鸳</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谢莉莉</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石狮福康堂中医诊所有限公司</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石狮市宫村造型理发店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石狮如一堂内科诊所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石狮市丝秀理发店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李美蓉</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黄美珍</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获得执业医师资格或执业助理医师资格的，可以办理。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永宁镇梅林村卫生所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永宁镇港边村卫生所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永宁镇金埭村卫生所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凤里街道五星社区卫生服务站</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诊所执业备案_变更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石狮国医堂中医（综合）诊所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第九条 诊所的名称、地址、法定代表人或者主要负责人、所有制形式、诊疗科目、服务方式等实际设置应当与诊所备案凭证记载事项相一致，以上备案信息发生变动的，必须向原备案机关备案。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石狮市雅希理发店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陈力特</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设置X射线影像诊断项目许可（校验）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石狮庄严口腔科诊所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《放射诊疗许可证》与《医疗机构执业许可证》同时校验，申请校验时应当提交本周期有关放射诊疗设备性能与辐射工作场所的检测报告、放射诊疗工作人员健康监护资料和工作开展情况报告。</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2024-03-12</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王竞杰</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永宁镇梅林村卫生室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石狮凤里童装基地经济开发有限公司卫生所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石狮市简约造型理发店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石狮市湖滨社区卫生服务中心</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黄丹婷</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石狮市潘仙奇理发店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黄彬凤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陈娇</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刘佳蕾</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石狮市章平理发店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伍恩艳</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蔡雨昕</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邹梦情</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施少婷</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陈丽娜</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wBefore w:w="157" w:type="dxa"/>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郭美育</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黄春花</w:t>
            </w:r>
          </w:p>
        </w:tc>
        <w:tc>
          <w:tcPr>
            <w:tcW w:w="184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石狮市宝岛栢丽医疗美容门诊部有限公司</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石狮市湖滨社区卫生服务中心</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义诊活动备案凭证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吴波妮</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陈艺艺</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李月娥</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颜丽清</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陈秀完</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2024-03-07</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石狮市湖滨社区卫生服务中心</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义诊活动备案凭证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石狮市湖滨社区卫生服务中心</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义诊活动备案凭证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付姜平</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放射医疗工作人员证核发_新证</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苏荣荣</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放射工作人员职业健康管理办法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放射工作人员及工作单位符合以下条件的，可以办理。 一、放射工作人员： （一）年满18周岁； （二）经职业健康检查，符合放射工作人员的职业健康要求； （三）放射防护和有关法律知识培训考核合格； （四）遵守放射防护法规和规章制度，接受职业健康监护和个人剂量监测管理； 二、放射工作单位： （一）医用辐射机构《放射工作人员证》，向为其发放《放射诊疗许可证》的卫生健康行政部门申请办理（省属医疗机构向设区市卫健部门申请办理）。（二）非开展核医用辐射机构《放射工作人员证》，向放射工作单位所在地县级卫健部门申请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放射工作人员证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石狮市米雪儿理发店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蔡丽玲</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219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石狮市名伦理发店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设置X射线影像诊断建设项目放射性职业病危害预评价报告审核</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石狮市永宁镇卫生院</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中华人民共和国职业病防治法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医疗机构新建、扩建、改建放射诊疗建设项目时，按照其开展的放射诊疗工作的类别，分别向相应的卫生行政部门提出申请办理。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建设项目设计卫生审查认可书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石狮市玥芙颜美容店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黄春花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李泽泷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石狮市百变化妆品店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张越娥</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徐晓青</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吴晓咪</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石狮市湖滨社区卫生服务中心</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义诊活动备案凭证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229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陈燕棉</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林帆</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唐菊</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张楠</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石狮市星星招待所</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医疗机构执业登记（变更）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石狮堡芝林综合门诊部</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第十九条　医疗机构改变名称、场所、主要负责人、诊疗科目、床位，必须向原登记机关办理变更登记。 </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石狮市再回首足浴店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设置X射线影像诊断项目许可（新办）</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石狮鑫燊口腔科诊所</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第六条 　医疗机构开展放射诊疗工作，应当具备以下基本条件：（一）具有经核准登记的医学影像科诊疗科目；（二）具有符合国家相关标准和规定的放射诊疗场所和配套设施；（三）具有质量控制与安全防护专（兼）职管理人员和管理制度，并配备必要的防护用品和监测仪器；（四）产生放射性废气、废液、固体废物的，具有确保放射性废气、废物、固体废物达标排放的处理能力或者可行的处理方案；（五）具有放射事件应急处理预案。《放射诊疗管理规定》（卫生部第46号令）第八条 医疗机构开展不同类别放射诊疗工作，应当分别具有下列设备：...（四）开展X射线影像诊断工作的，有医用诊断X射线机或CT机等设备。</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2024-03-05</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放射诊疗许可证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诊所执业备案_变更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泉州似初医疗美容诊所</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第九条 诊所的名称、地址、法定代表人或者主要负责人、所有制形式、诊疗科目、服务方式等实际设置应当与诊所备案凭证记载事项相一致，以上备案信息发生变动的，必须向原备案机关备案。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诊所备案凭证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李文</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239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石狮市一剪钟情理发店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2024-03-04</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240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黄雅彬</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王雅玲</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陈斐如</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黄雅真</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王霜容</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石狮市阿香美容美发店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石狮市啊春理发店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黄剑婷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石狮市奈丝理发店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石狮市振兴理发店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石狮市黄峰理发店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石狮市新领域理发店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35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徐丽</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邱明霞</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李迎荣</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谢培珍</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傅朝霞</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吴雅森</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邱美英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蔡晓英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王瑛凝</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蔡翠云</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李双双</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许美泳</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蔡玉泱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施宝真</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林婉芬</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苏黎玲</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刘荣珍</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侯小娜</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何小棉</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蔡月棉</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林祝华</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洪明雅</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林若虹</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石狮市欧力美发店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石狮市李彬理发店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肖丽平</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林占丽</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龚清艺</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蔡雅云</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石狮市轩艺理发店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洪真真</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石狮市彭树林理发店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北京同仁堂福建药业连锁有限公司石狮药店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石狮市吴杏花美发店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石狮市圆发梦理发店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吴雅森</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邱美英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蔡晓英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王瑛凝</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蔡翠云</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李双双</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许美泳</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蔡玉泱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施宝真</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林婉芬</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苏黎玲</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刘荣珍</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侯小娜</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何小棉</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蔡月棉</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林祝华</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洪明雅</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林若虹</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石狮市欧力美发店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石狮市李彬理发店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肖丽平</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林占丽</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龚清艺</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蔡雅云</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石狮市轩艺理发店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洪真真</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石狮市彭树林理发店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北京同仁堂福建药业连锁有限公司石狮药店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石狮市吴杏花美发店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石狮市圆发梦理发店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1"/>
                <w:szCs w:val="21"/>
                <w:u w:val="none"/>
                <w:lang w:val="en-US" w:eastAsia="zh-CN" w:bidi="ar"/>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楷体" w:hAnsi="楷体" w:eastAsia="楷体" w:cs="楷体"/>
                <w:i w:val="0"/>
                <w:iCs w:val="0"/>
                <w:color w:val="000000"/>
                <w:kern w:val="0"/>
                <w:sz w:val="24"/>
                <w:szCs w:val="24"/>
                <w:u w:val="none"/>
                <w:lang w:val="en-US" w:eastAsia="zh-CN" w:bidi="ar"/>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 w:hAnsi="楷体" w:eastAsia="楷体" w:cs="楷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吴雅森</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邱美英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蔡晓英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王瑛凝</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蔡翠云</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李双双</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263</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许美泳</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264</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蔡玉泱</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265</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施宝真</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林婉芬</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苏黎玲</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刘荣珍</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269</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侯小娜</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270</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何小棉</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271</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蔡月棉</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57" w:type="dxa"/>
          <w:trHeight w:val="186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272</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林祝华</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2024-03-01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bl>
    <w:tbl>
      <w:tblPr>
        <w:tblW w:w="16068"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67"/>
        <w:gridCol w:w="1276"/>
        <w:gridCol w:w="1843"/>
        <w:gridCol w:w="1134"/>
        <w:gridCol w:w="1843"/>
        <w:gridCol w:w="6627"/>
        <w:gridCol w:w="1134"/>
        <w:gridCol w:w="744"/>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855"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护士执业注册（延续注册）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洪明雅</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护士执业注册管理办法</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护士执业注册有效期届满需要继续执业的，可以办理。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855"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护士执业注册（延续注册）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林若虹</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护士执业注册管理办法</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护士执业注册有效期届满需要继续执业的，可以办理。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1140"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公共场所卫生许可（延续）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石狮市欧力美发店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公共场所卫生管理条例实施细则</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公共场所在卫生许可证有效期届满30日前提出延续申请的，可以办理。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1140"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公共场所卫生许可（延续）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石狮市李彬理发店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公共场所卫生管理条例实施细则</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公共场所在卫生许可证有效期届满30日前提出延续申请的，可以办理。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57" w:type="dxa"/>
          <w:trHeight w:val="855"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护士执业注册（延续注册）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肖丽平</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护士执业注册管理办法</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护士执业注册有效期届满需要继续执业的，可以办理。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855"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护士执业注册（延续注册）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林占丽</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护士执业注册管理办法</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护士执业注册有效期届满需要继续执业的，可以办理。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855"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护士执业注册（延续注册）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龚清艺</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护士执业注册管理办法</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护士执业注册有效期届满需要继续执业的，可以办理。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5985"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护士执业注册（首次注册）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蔡雅云</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护士条例</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1140"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公共场所卫生许可（延续）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石狮市轩艺理发店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公共场所卫生管理条例实施细则</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公共场所在卫生许可证有效期届满30日前提出延续申请的，可以办理。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5985"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护士执业注册（首次注册）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洪真真</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护士条例</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护士执业证书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1140"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公共场所卫生许可（延续）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石狮市彭树林理发店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公共场所卫生管理条例实施细则</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公共场所在卫生许可证有效期届满30日前提出延续申请的，可以办理。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2280"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医师多机构执业备案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北京同仁堂福建药业连锁有限公司石狮药店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福建省卫生计生委关于做好医师执业注册管理工作的通知</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1140"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公共场所卫生许可（延续）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石狮市吴杏花美发店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公共场所卫生管理条例实施细则</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公共场所在卫生许可证有效期届满30日前提出延续申请的，可以办理。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157" w:type="dxa"/>
          <w:trHeight w:val="1140" w:hRule="atLeast"/>
        </w:trPr>
        <w:tc>
          <w:tcPr>
            <w:tcW w:w="5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公共场所卫生许可（延续）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石狮市圆发梦理发店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公共场所卫生管理条例实施细则</w:t>
            </w:r>
          </w:p>
        </w:tc>
        <w:tc>
          <w:tcPr>
            <w:tcW w:w="6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公共场所在卫生许可证有效期届满30日前提出延续申请的，可以办理。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2024-03-01</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受理、决定</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bdr w:val="none" w:color="auto" w:sz="0" w:space="0"/>
                <w:lang w:val="en-US" w:eastAsia="zh-CN" w:bidi="ar"/>
              </w:rPr>
              <w:t>卫生许可证</w:t>
            </w:r>
          </w:p>
        </w:tc>
      </w:tr>
    </w:tbl>
    <w:p>
      <w:pPr>
        <w:rPr>
          <w:rFonts w:ascii="仿宋" w:hAnsi="仿宋" w:eastAsia="仿宋"/>
          <w:szCs w:val="21"/>
        </w:rPr>
      </w:pPr>
      <w:bookmarkStart w:id="0" w:name="_GoBack"/>
      <w:bookmarkEnd w:id="0"/>
    </w:p>
    <w:sectPr>
      <w:pgSz w:w="16838" w:h="11906" w:orient="landscape"/>
      <w:pgMar w:top="289" w:right="295" w:bottom="289" w:left="2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TYzNzc5MThhYTc4YTNhNmM3MjhmNTNmYTZlNjIifQ=="/>
  </w:docVars>
  <w:rsids>
    <w:rsidRoot w:val="007D1FE2"/>
    <w:rsid w:val="000A3AF7"/>
    <w:rsid w:val="002F16FA"/>
    <w:rsid w:val="003B3B48"/>
    <w:rsid w:val="00646E57"/>
    <w:rsid w:val="007D1FE2"/>
    <w:rsid w:val="007F238A"/>
    <w:rsid w:val="00817861"/>
    <w:rsid w:val="008357A1"/>
    <w:rsid w:val="0090428D"/>
    <w:rsid w:val="00905619"/>
    <w:rsid w:val="009B6DFE"/>
    <w:rsid w:val="00A263AD"/>
    <w:rsid w:val="00A7165C"/>
    <w:rsid w:val="00C905A1"/>
    <w:rsid w:val="00CB6B93"/>
    <w:rsid w:val="00F64C4B"/>
    <w:rsid w:val="08543688"/>
    <w:rsid w:val="09420E2C"/>
    <w:rsid w:val="157601E9"/>
    <w:rsid w:val="20560C5B"/>
    <w:rsid w:val="2DD35D80"/>
    <w:rsid w:val="308A4DFB"/>
    <w:rsid w:val="3A743865"/>
    <w:rsid w:val="3D6A1938"/>
    <w:rsid w:val="40603196"/>
    <w:rsid w:val="47966486"/>
    <w:rsid w:val="4E052969"/>
    <w:rsid w:val="4EFE7EE9"/>
    <w:rsid w:val="52314B5A"/>
    <w:rsid w:val="52AC2E4E"/>
    <w:rsid w:val="535047C5"/>
    <w:rsid w:val="54603FAE"/>
    <w:rsid w:val="5A2B6BDB"/>
    <w:rsid w:val="5BCE7BC6"/>
    <w:rsid w:val="791B3616"/>
    <w:rsid w:val="7E135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800080"/>
      <w:u w:val="single"/>
    </w:rPr>
  </w:style>
  <w:style w:type="character" w:styleId="5">
    <w:name w:val="Hyperlink"/>
    <w:basedOn w:val="3"/>
    <w:autoRedefine/>
    <w:semiHidden/>
    <w:unhideWhenUsed/>
    <w:qFormat/>
    <w:uiPriority w:val="99"/>
    <w:rPr>
      <w:color w:val="0000FF"/>
      <w:u w:val="single"/>
    </w:rPr>
  </w:style>
  <w:style w:type="paragraph" w:customStyle="1" w:styleId="6">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2"/>
      <w:szCs w:val="22"/>
    </w:rPr>
  </w:style>
  <w:style w:type="paragraph" w:customStyle="1" w:styleId="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333333"/>
      <w:kern w:val="0"/>
      <w:sz w:val="22"/>
      <w:szCs w:val="22"/>
    </w:rPr>
  </w:style>
  <w:style w:type="paragraph" w:customStyle="1" w:styleId="1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2"/>
      <w:szCs w:val="22"/>
    </w:rPr>
  </w:style>
  <w:style w:type="paragraph" w:customStyle="1" w:styleId="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03133"/>
      <w:kern w:val="0"/>
      <w:sz w:val="22"/>
      <w:szCs w:val="22"/>
    </w:rPr>
  </w:style>
  <w:style w:type="paragraph" w:customStyle="1" w:styleId="2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333333"/>
      <w:kern w:val="0"/>
      <w:sz w:val="22"/>
      <w:szCs w:val="22"/>
    </w:rPr>
  </w:style>
  <w:style w:type="paragraph" w:customStyle="1" w:styleId="2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2"/>
      <w:szCs w:val="22"/>
    </w:rPr>
  </w:style>
  <w:style w:type="paragraph" w:customStyle="1" w:styleId="2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23">
    <w:name w:val="xl8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2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2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2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2"/>
      <w:szCs w:val="22"/>
    </w:rPr>
  </w:style>
  <w:style w:type="paragraph" w:customStyle="1" w:styleId="31">
    <w:name w:val="xl88"/>
    <w:basedOn w:val="1"/>
    <w:qFormat/>
    <w:uiPriority w:val="0"/>
    <w:pPr>
      <w:widowControl/>
      <w:spacing w:before="100" w:beforeAutospacing="1" w:after="100" w:afterAutospacing="1"/>
      <w:ind w:firstLine="100" w:firstLineChars="100"/>
      <w:jc w:val="left"/>
      <w:textAlignment w:val="center"/>
    </w:pPr>
    <w:rPr>
      <w:rFonts w:ascii="宋体" w:hAnsi="宋体" w:cs="宋体"/>
      <w:kern w:val="0"/>
      <w:sz w:val="24"/>
    </w:rPr>
  </w:style>
  <w:style w:type="paragraph" w:customStyle="1" w:styleId="32">
    <w:name w:val="xl89"/>
    <w:basedOn w:val="1"/>
    <w:autoRedefine/>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33">
    <w:name w:val="xl90"/>
    <w:basedOn w:val="1"/>
    <w:autoRedefine/>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37">
    <w:name w:val="xl94"/>
    <w:basedOn w:val="1"/>
    <w:autoRedefine/>
    <w:qFormat/>
    <w:uiPriority w:val="0"/>
    <w:pPr>
      <w:widowControl/>
      <w:pBdr>
        <w:top w:val="single" w:color="auto" w:sz="4" w:space="0"/>
        <w:left w:val="single" w:color="auto" w:sz="4" w:space="9"/>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4"/>
    </w:rPr>
  </w:style>
  <w:style w:type="paragraph" w:customStyle="1" w:styleId="38">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9">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1">
    <w:name w:val="xl98"/>
    <w:basedOn w:val="1"/>
    <w:autoRedefine/>
    <w:qFormat/>
    <w:uiPriority w:val="0"/>
    <w:pPr>
      <w:widowControl/>
      <w:pBdr>
        <w:left w:val="single" w:color="auto" w:sz="4" w:space="0"/>
        <w:right w:val="single" w:color="auto" w:sz="4" w:space="0"/>
      </w:pBdr>
      <w:spacing w:before="100" w:beforeAutospacing="1" w:after="100" w:afterAutospacing="1"/>
    </w:pPr>
    <w:rPr>
      <w:rFonts w:ascii="宋体" w:hAnsi="宋体" w:cs="宋体"/>
      <w:color w:val="333333"/>
      <w:kern w:val="0"/>
      <w:sz w:val="22"/>
      <w:szCs w:val="22"/>
    </w:rPr>
  </w:style>
  <w:style w:type="paragraph" w:customStyle="1" w:styleId="42">
    <w:name w:val="xl9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303133"/>
      <w:kern w:val="0"/>
      <w:sz w:val="22"/>
      <w:szCs w:val="22"/>
    </w:rPr>
  </w:style>
  <w:style w:type="paragraph" w:customStyle="1" w:styleId="43">
    <w:name w:val="xl100"/>
    <w:basedOn w:val="1"/>
    <w:autoRedefine/>
    <w:qFormat/>
    <w:uiPriority w:val="0"/>
    <w:pPr>
      <w:widowControl/>
      <w:pBdr>
        <w:left w:val="single" w:color="000000" w:sz="4" w:space="0"/>
        <w:right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44">
    <w:name w:val="xl101"/>
    <w:basedOn w:val="1"/>
    <w:autoRedefine/>
    <w:qFormat/>
    <w:uiPriority w:val="0"/>
    <w:pPr>
      <w:widowControl/>
      <w:pBdr>
        <w:left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45">
    <w:name w:val="xl10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6">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47">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8">
    <w:name w:val="xl1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
    <w:name w:val="xl10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2"/>
      <w:szCs w:val="22"/>
    </w:rPr>
  </w:style>
  <w:style w:type="paragraph" w:customStyle="1" w:styleId="52">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2"/>
      <w:szCs w:val="22"/>
    </w:rPr>
  </w:style>
  <w:style w:type="character" w:customStyle="1" w:styleId="53">
    <w:name w:val="font31"/>
    <w:basedOn w:val="3"/>
    <w:autoRedefine/>
    <w:qFormat/>
    <w:uiPriority w:val="0"/>
    <w:rPr>
      <w:rFonts w:ascii="Arial" w:hAnsi="Arial" w:cs="Arial"/>
      <w:color w:val="000000"/>
      <w:sz w:val="24"/>
      <w:szCs w:val="24"/>
      <w:u w:val="none"/>
    </w:rPr>
  </w:style>
  <w:style w:type="character" w:customStyle="1" w:styleId="54">
    <w:name w:val="font51"/>
    <w:basedOn w:val="3"/>
    <w:autoRedefine/>
    <w:qFormat/>
    <w:uiPriority w:val="0"/>
    <w:rPr>
      <w:rFonts w:ascii="Arial" w:hAnsi="Arial" w:cs="Arial"/>
      <w:color w:val="000000"/>
      <w:sz w:val="24"/>
      <w:szCs w:val="24"/>
      <w:u w:val="none"/>
    </w:rPr>
  </w:style>
  <w:style w:type="character" w:customStyle="1" w:styleId="55">
    <w:name w:val="font41"/>
    <w:basedOn w:val="3"/>
    <w:qFormat/>
    <w:uiPriority w:val="0"/>
    <w:rPr>
      <w:rFonts w:hint="eastAsia" w:ascii="微软雅黑" w:hAnsi="微软雅黑" w:eastAsia="微软雅黑" w:cs="微软雅黑"/>
      <w:color w:val="333333"/>
      <w:sz w:val="21"/>
      <w:szCs w:val="21"/>
      <w:u w:val="none"/>
    </w:rPr>
  </w:style>
  <w:style w:type="character" w:customStyle="1" w:styleId="56">
    <w:name w:val="font71"/>
    <w:basedOn w:val="3"/>
    <w:uiPriority w:val="0"/>
    <w:rPr>
      <w:rFonts w:ascii="Arial" w:hAnsi="Arial" w:cs="Arial"/>
      <w:color w:val="000000"/>
      <w:sz w:val="24"/>
      <w:szCs w:val="24"/>
      <w:u w:val="none"/>
    </w:rPr>
  </w:style>
  <w:style w:type="character" w:customStyle="1" w:styleId="57">
    <w:name w:val="font6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B17A4-51B4-4EDD-95EC-5360F26669CD}">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151</Pages>
  <Words>25966</Words>
  <Characters>30986</Characters>
  <Lines>154</Lines>
  <Paragraphs>43</Paragraphs>
  <TotalTime>67</TotalTime>
  <ScaleCrop>false</ScaleCrop>
  <LinksUpToDate>false</LinksUpToDate>
  <CharactersWithSpaces>31147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2023-03-03T01:27:00Z</dcterms:created>
  <dc:creator>NTKO</dc:creator>
  <cp:lastModifiedBy>Administrator</cp:lastModifiedBy>
  <dcterms:modified xsi:type="dcterms:W3CDTF">2024-05-29T05:02:46Z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7C950B87DD784013ACBF7FFB8C4FE5BC</vt:lpwstr>
  </property>
</Properties>
</file>